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0DE" w:rsidRDefault="006770DE" w:rsidP="006770DE">
      <w:pPr>
        <w:pStyle w:val="Corpodetexto"/>
        <w:rPr>
          <w:sz w:val="20"/>
        </w:rPr>
      </w:pPr>
    </w:p>
    <w:p w:rsidR="006770DE" w:rsidRDefault="006770DE" w:rsidP="006770DE">
      <w:pPr>
        <w:pStyle w:val="Corpodetexto"/>
        <w:rPr>
          <w:sz w:val="20"/>
        </w:rPr>
      </w:pPr>
    </w:p>
    <w:p w:rsidR="006770DE" w:rsidRDefault="006770DE" w:rsidP="006770DE">
      <w:pPr>
        <w:pStyle w:val="Corpodetexto"/>
        <w:rPr>
          <w:sz w:val="20"/>
        </w:rPr>
      </w:pPr>
    </w:p>
    <w:p w:rsidR="006770DE" w:rsidRDefault="006770DE" w:rsidP="006770DE">
      <w:pPr>
        <w:pStyle w:val="Corpodetexto"/>
        <w:spacing w:before="5"/>
        <w:rPr>
          <w:sz w:val="23"/>
        </w:rPr>
      </w:pPr>
    </w:p>
    <w:p w:rsidR="006770DE" w:rsidRDefault="006770DE" w:rsidP="006770DE">
      <w:pPr>
        <w:pStyle w:val="Corpodetexto"/>
        <w:jc w:val="center"/>
        <w:rPr>
          <w:i/>
          <w:sz w:val="20"/>
        </w:rPr>
      </w:pPr>
    </w:p>
    <w:p w:rsidR="006770DE" w:rsidRDefault="006770DE" w:rsidP="006770DE">
      <w:pPr>
        <w:pStyle w:val="Corpodetexto"/>
        <w:spacing w:before="3"/>
        <w:rPr>
          <w:i/>
          <w:sz w:val="21"/>
        </w:rPr>
      </w:pPr>
    </w:p>
    <w:p w:rsidR="006770DE" w:rsidRPr="00BF00AF" w:rsidRDefault="006770DE" w:rsidP="006770DE">
      <w:pPr>
        <w:pStyle w:val="Corpodetexto"/>
        <w:rPr>
          <w:b/>
          <w:sz w:val="18"/>
        </w:rPr>
      </w:pPr>
    </w:p>
    <w:p w:rsidR="00BF00AF" w:rsidRDefault="00BF00AF" w:rsidP="006770DE">
      <w:pPr>
        <w:pStyle w:val="Corpodetexto"/>
        <w:spacing w:before="8"/>
        <w:rPr>
          <w:b/>
        </w:rPr>
      </w:pPr>
    </w:p>
    <w:p w:rsidR="00BF00AF" w:rsidRDefault="00BF00AF" w:rsidP="006770DE">
      <w:pPr>
        <w:pStyle w:val="Corpodetexto"/>
        <w:spacing w:before="8"/>
        <w:rPr>
          <w:b/>
        </w:rPr>
      </w:pPr>
    </w:p>
    <w:p w:rsidR="00BF00AF" w:rsidRDefault="00BF00AF" w:rsidP="006770DE">
      <w:pPr>
        <w:pStyle w:val="Corpodetexto"/>
        <w:spacing w:before="8"/>
        <w:rPr>
          <w:b/>
        </w:rPr>
      </w:pPr>
    </w:p>
    <w:p w:rsidR="00BF00AF" w:rsidRDefault="00BF00AF" w:rsidP="00BF00AF">
      <w:pPr>
        <w:pStyle w:val="Ttulo"/>
        <w:rPr>
          <w:sz w:val="28"/>
        </w:rPr>
      </w:pPr>
    </w:p>
    <w:p w:rsidR="00BF00AF" w:rsidRPr="00BF00AF" w:rsidRDefault="00BF00AF" w:rsidP="00BF00AF">
      <w:pPr>
        <w:pStyle w:val="Ttulo"/>
        <w:rPr>
          <w:sz w:val="28"/>
        </w:rPr>
      </w:pPr>
      <w:r w:rsidRPr="00BF00AF">
        <w:rPr>
          <w:sz w:val="28"/>
        </w:rPr>
        <w:t>PROPOSTA</w:t>
      </w:r>
      <w:r w:rsidRPr="00BF00AF">
        <w:rPr>
          <w:spacing w:val="1"/>
          <w:sz w:val="28"/>
        </w:rPr>
        <w:t xml:space="preserve"> </w:t>
      </w:r>
      <w:r w:rsidRPr="00BF00AF">
        <w:rPr>
          <w:sz w:val="28"/>
        </w:rPr>
        <w:t>DE</w:t>
      </w:r>
      <w:r w:rsidRPr="00BF00AF">
        <w:rPr>
          <w:spacing w:val="-1"/>
          <w:sz w:val="28"/>
        </w:rPr>
        <w:t xml:space="preserve"> </w:t>
      </w:r>
      <w:r w:rsidRPr="00BF00AF">
        <w:rPr>
          <w:sz w:val="28"/>
        </w:rPr>
        <w:t>PREÇOS</w:t>
      </w:r>
    </w:p>
    <w:p w:rsidR="00BF00AF" w:rsidRDefault="00BF00AF" w:rsidP="006770DE">
      <w:pPr>
        <w:pStyle w:val="Corpodetexto"/>
        <w:spacing w:before="8"/>
        <w:rPr>
          <w:b/>
        </w:rPr>
      </w:pPr>
    </w:p>
    <w:p w:rsidR="006770DE" w:rsidRDefault="006770DE" w:rsidP="006770DE">
      <w:pPr>
        <w:pStyle w:val="Corpodetexto"/>
        <w:spacing w:before="8"/>
        <w:rPr>
          <w:b/>
        </w:rPr>
      </w:pPr>
      <w:r w:rsidRPr="00FE61A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79.7pt;margin-top:15.25pt;width:459.15pt;height:13.1pt;z-index:-251655168;mso-wrap-distance-left:0;mso-wrap-distance-right:0;mso-position-horizontal-relative:page" filled="f" strokeweight=".48pt">
            <v:textbox style="mso-next-textbox:#_x0000_s1031" inset="0,0,0,0">
              <w:txbxContent>
                <w:p w:rsidR="006770DE" w:rsidRDefault="006770DE" w:rsidP="006770DE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</w:rPr>
                    <w:t>–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 w:rsidR="00BF00AF">
                    <w:rPr>
                      <w:b/>
                    </w:rPr>
                    <w:t>Dados da Empresa</w:t>
                  </w:r>
                </w:p>
              </w:txbxContent>
            </v:textbox>
            <w10:wrap type="topAndBottom" anchorx="page"/>
          </v:shape>
        </w:pict>
      </w:r>
    </w:p>
    <w:p w:rsidR="006770DE" w:rsidRDefault="006770DE" w:rsidP="006770DE">
      <w:pPr>
        <w:pStyle w:val="Corpodetexto"/>
        <w:spacing w:before="1"/>
        <w:rPr>
          <w:b/>
          <w:sz w:val="11"/>
        </w:rPr>
      </w:pPr>
    </w:p>
    <w:p w:rsidR="006770DE" w:rsidRDefault="006770DE" w:rsidP="006770DE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Fornecedor:</w:t>
      </w:r>
      <w:r>
        <w:rPr>
          <w:u w:val="single"/>
        </w:rPr>
        <w:tab/>
      </w:r>
      <w:r>
        <w:rPr>
          <w:u w:val="single"/>
        </w:rPr>
        <w:tab/>
      </w:r>
      <w:r>
        <w:t>CNPJ/CPF: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6770DE" w:rsidRDefault="006770DE" w:rsidP="006770DE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Telefones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contato:</w:t>
      </w:r>
      <w:r>
        <w:rPr>
          <w:u w:val="single"/>
        </w:rPr>
        <w:tab/>
      </w:r>
      <w:r>
        <w:t>E-mail: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6770DE" w:rsidRDefault="006770DE" w:rsidP="006770DE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Endereço</w:t>
      </w:r>
      <w:r>
        <w:rPr>
          <w:spacing w:val="-1"/>
        </w:rPr>
        <w:t xml:space="preserve"> </w:t>
      </w:r>
      <w:r>
        <w:t>Físico: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6770DE" w:rsidRDefault="006770DE" w:rsidP="006770DE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Responsável</w:t>
      </w:r>
      <w:r>
        <w:rPr>
          <w:spacing w:val="-2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fornecimento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cotação: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770DE" w:rsidRDefault="006770DE" w:rsidP="006770DE">
      <w:pPr>
        <w:pStyle w:val="Corpodetexto"/>
        <w:rPr>
          <w:sz w:val="20"/>
        </w:rPr>
      </w:pPr>
    </w:p>
    <w:p w:rsidR="006770DE" w:rsidRDefault="006770DE" w:rsidP="006770DE">
      <w:pPr>
        <w:pStyle w:val="Corpodetexto"/>
        <w:rPr>
          <w:sz w:val="20"/>
        </w:rPr>
      </w:pPr>
    </w:p>
    <w:p w:rsidR="006770DE" w:rsidRDefault="006770DE" w:rsidP="006770DE">
      <w:pPr>
        <w:pStyle w:val="Corpodetexto"/>
        <w:rPr>
          <w:sz w:val="14"/>
        </w:rPr>
      </w:pPr>
      <w:r w:rsidRPr="00FE61A0">
        <w:pict>
          <v:shape id="_x0000_s1032" type="#_x0000_t202" style="position:absolute;margin-left:79.7pt;margin-top:10.3pt;width:484.35pt;height:13.2pt;z-index:-251654144;mso-wrap-distance-left:0;mso-wrap-distance-right:0;mso-position-horizontal-relative:page" filled="f" strokeweight=".48pt">
            <v:textbox style="mso-next-textbox:#_x0000_s1032" inset="0,0,0,0">
              <w:txbxContent>
                <w:p w:rsidR="006770DE" w:rsidRDefault="006770DE" w:rsidP="006770DE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2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–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DESCRIÇÃO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DO OBJETO</w:t>
                  </w:r>
                  <w:r>
                    <w:rPr>
                      <w:b/>
                      <w:spacing w:val="-11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A</w:t>
                  </w:r>
                  <w:r>
                    <w:rPr>
                      <w:b/>
                      <w:spacing w:val="-13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SER CONTRATADO</w:t>
                  </w:r>
                </w:p>
              </w:txbxContent>
            </v:textbox>
            <w10:wrap type="topAndBottom" anchorx="page"/>
          </v:shape>
        </w:pict>
      </w:r>
    </w:p>
    <w:p w:rsidR="006770DE" w:rsidRDefault="006770DE" w:rsidP="006770DE">
      <w:pPr>
        <w:pStyle w:val="Corpodetexto"/>
        <w:spacing w:before="10"/>
        <w:rPr>
          <w:sz w:val="10"/>
        </w:rPr>
      </w:pPr>
    </w:p>
    <w:p w:rsidR="006770DE" w:rsidRPr="006770DE" w:rsidRDefault="006770DE" w:rsidP="006770DE">
      <w:pPr>
        <w:ind w:firstLine="221"/>
        <w:jc w:val="both"/>
        <w:rPr>
          <w:sz w:val="28"/>
          <w:szCs w:val="24"/>
        </w:rPr>
      </w:pPr>
      <w:r w:rsidRPr="006770DE">
        <w:rPr>
          <w:rFonts w:eastAsia="Arial"/>
          <w:sz w:val="24"/>
        </w:rPr>
        <w:t>Aquisição de Sistema GNSS RTK completo, para execução de levantamentos topográficos e georreferenciamento, composto por 02 (dois) receptores GNSS de alta precisão (base e rover), 01 (uma) controladora/coletora de dados portátil, software de campo com licença de uso e demais acessórios necessários ao pleno funcionamento do sistema</w:t>
      </w:r>
    </w:p>
    <w:p w:rsidR="006770DE" w:rsidRDefault="006770DE" w:rsidP="006770DE">
      <w:pPr>
        <w:pStyle w:val="Corpodetexto"/>
        <w:rPr>
          <w:sz w:val="20"/>
        </w:rPr>
      </w:pPr>
    </w:p>
    <w:p w:rsidR="006770DE" w:rsidRDefault="006770DE" w:rsidP="006770DE">
      <w:pPr>
        <w:pStyle w:val="Corpodetexto"/>
        <w:spacing w:before="3"/>
        <w:rPr>
          <w:sz w:val="21"/>
        </w:rPr>
      </w:pPr>
      <w:r w:rsidRPr="00FE61A0">
        <w:pict>
          <v:shape id="_x0000_s1033" type="#_x0000_t202" style="position:absolute;margin-left:84.25pt;margin-top:14.45pt;width:479.8pt;height:15.7pt;z-index:-251653120;mso-wrap-distance-left:0;mso-wrap-distance-right:0;mso-position-horizontal-relative:page" filled="f" strokeweight=".48pt">
            <v:textbox style="mso-next-textbox:#_x0000_s1033" inset="0,0,0,0">
              <w:txbxContent>
                <w:p w:rsidR="006770DE" w:rsidRDefault="006770DE" w:rsidP="006770DE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3</w:t>
                  </w:r>
                  <w:r>
                    <w:rPr>
                      <w:b/>
                      <w:spacing w:val="3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–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CRITÉRIOS/REQUISITOS</w:t>
                  </w:r>
                  <w:r>
                    <w:rPr>
                      <w:b/>
                      <w:spacing w:val="2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DA</w:t>
                  </w:r>
                  <w:r>
                    <w:rPr>
                      <w:b/>
                      <w:spacing w:val="-11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CONTRATAÇÃO</w:t>
                  </w:r>
                </w:p>
              </w:txbxContent>
            </v:textbox>
            <w10:wrap type="topAndBottom" anchorx="page"/>
          </v:shape>
        </w:pict>
      </w:r>
    </w:p>
    <w:p w:rsidR="006770DE" w:rsidRDefault="006770DE" w:rsidP="006770DE">
      <w:pPr>
        <w:pStyle w:val="Corpodetexto"/>
        <w:spacing w:before="1"/>
        <w:rPr>
          <w:sz w:val="10"/>
        </w:rPr>
      </w:pPr>
    </w:p>
    <w:p w:rsidR="006770DE" w:rsidRDefault="006770DE" w:rsidP="006770DE">
      <w:pPr>
        <w:pStyle w:val="Corpodetexto"/>
        <w:rPr>
          <w:sz w:val="20"/>
        </w:rPr>
      </w:pPr>
      <w:r w:rsidRPr="00FE61A0">
        <w:pict>
          <v:group id="_x0000_s1026" style="position:absolute;margin-left:1.8pt;margin-top:-13.8pt;width:592.8pt;height:145.35pt;z-index:-251656192;mso-position-horizontal-relative:page;mso-position-vertical-relative:page" coordorigin="36" coordsize="11856,29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6;width:4268;height:1536">
              <v:imagedata r:id="rId6" o:title=""/>
            </v:shape>
            <v:shape id="_x0000_s1028" type="#_x0000_t75" style="position:absolute;left:4303;width:4304;height:2640">
              <v:imagedata r:id="rId7" o:title=""/>
            </v:shape>
            <v:shape id="_x0000_s1029" type="#_x0000_t75" style="position:absolute;left:8606;width:3286;height:1536">
              <v:imagedata r:id="rId8" o:title=""/>
            </v:shape>
            <v:shape id="_x0000_s1030" type="#_x0000_t202" style="position:absolute;left:1593;top:2637;width:9183;height:264" filled="f" strokeweight=".48pt">
              <v:textbox style="mso-next-textbox:#_x0000_s1030" inset="0,0,0,0">
                <w:txbxContent>
                  <w:p w:rsidR="006770DE" w:rsidRPr="006770DE" w:rsidRDefault="006770DE" w:rsidP="006770DE">
                    <w:pPr>
                      <w:spacing w:before="1"/>
                      <w:rPr>
                        <w:b/>
                        <w:lang w:val="pt-BR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3F004A" w:rsidRPr="003F004A" w:rsidRDefault="003F004A" w:rsidP="003F004A">
      <w:pPr>
        <w:pStyle w:val="normal0"/>
        <w:spacing w:line="360" w:lineRule="auto"/>
        <w:ind w:firstLine="720"/>
        <w:jc w:val="both"/>
        <w:rPr>
          <w:rFonts w:eastAsia="Arial"/>
          <w:szCs w:val="22"/>
        </w:rPr>
      </w:pPr>
      <w:r w:rsidRPr="003F004A">
        <w:rPr>
          <w:rFonts w:eastAsia="Arial"/>
          <w:szCs w:val="22"/>
        </w:rPr>
        <w:t>O objeto da contratação será executado da seguinte forma: a ordem de fornecimento será encaminhada ao e-mail informado pela empresa vencedora. A partir do recebimento, a contratada deverá realizar a entrega do Sistema GNSS RTK completo no local indicado pela Secretaria Municipal de Obras, no Município de Estiva/MG, em até 20 dias.</w:t>
      </w:r>
    </w:p>
    <w:p w:rsidR="003F004A" w:rsidRPr="003F004A" w:rsidRDefault="003F004A" w:rsidP="003F004A">
      <w:pPr>
        <w:pStyle w:val="normal0"/>
        <w:spacing w:line="360" w:lineRule="auto"/>
        <w:ind w:firstLine="720"/>
        <w:jc w:val="both"/>
        <w:rPr>
          <w:rFonts w:eastAsia="Arial"/>
          <w:szCs w:val="22"/>
        </w:rPr>
      </w:pPr>
      <w:r w:rsidRPr="003F004A">
        <w:rPr>
          <w:rFonts w:eastAsia="Arial"/>
          <w:szCs w:val="22"/>
        </w:rPr>
        <w:t>O fornecimento compreenderá a entrega de todos os componentes do sistema, devidamente acondicionados, acompanhados de manuais, licenças de uso, ativações necessárias e demais acessórios indispensáveis ao pleno funcionamento do equipamento.</w:t>
      </w:r>
    </w:p>
    <w:p w:rsidR="003F004A" w:rsidRPr="003F004A" w:rsidRDefault="003F004A" w:rsidP="003F004A">
      <w:pPr>
        <w:pStyle w:val="normal0"/>
        <w:spacing w:line="360" w:lineRule="auto"/>
        <w:ind w:firstLine="720"/>
        <w:jc w:val="both"/>
        <w:rPr>
          <w:rFonts w:eastAsia="Arial"/>
          <w:szCs w:val="22"/>
        </w:rPr>
      </w:pPr>
      <w:r w:rsidRPr="003F004A">
        <w:rPr>
          <w:rFonts w:eastAsia="Arial"/>
          <w:szCs w:val="22"/>
        </w:rPr>
        <w:t>Após a entrega, será realizado o recebimento provisório para verificação da conformidade com as especificações contratadas. Constatada a regularidade, será emitido o recebimento definitivo pelo setor competente.</w:t>
      </w:r>
    </w:p>
    <w:p w:rsidR="003F004A" w:rsidRDefault="003F004A" w:rsidP="003F004A">
      <w:pPr>
        <w:pStyle w:val="normal0"/>
        <w:spacing w:line="360" w:lineRule="auto"/>
        <w:ind w:firstLine="720"/>
        <w:jc w:val="both"/>
        <w:rPr>
          <w:rFonts w:eastAsia="Arial"/>
          <w:szCs w:val="22"/>
        </w:rPr>
      </w:pPr>
      <w:r w:rsidRPr="003F004A">
        <w:rPr>
          <w:rFonts w:eastAsia="Arial"/>
          <w:szCs w:val="22"/>
        </w:rPr>
        <w:t>Somente após o recebimento definitivo e o atesto da nota fiscal pelo responsável designado, o pagamento será efetuado no prazo de até 15 (quinze) dias, nos termos estabelecidos neste Termo de Referência e na Lei nº 14.133/2021.</w:t>
      </w:r>
    </w:p>
    <w:p w:rsidR="003F004A" w:rsidRDefault="003F004A" w:rsidP="003F004A">
      <w:pPr>
        <w:pStyle w:val="normal0"/>
        <w:spacing w:line="360" w:lineRule="auto"/>
        <w:ind w:firstLine="720"/>
        <w:jc w:val="both"/>
        <w:rPr>
          <w:rFonts w:eastAsia="Arial"/>
          <w:szCs w:val="22"/>
        </w:rPr>
      </w:pPr>
    </w:p>
    <w:p w:rsidR="003F004A" w:rsidRPr="003F004A" w:rsidRDefault="003F004A" w:rsidP="003F004A">
      <w:pPr>
        <w:pStyle w:val="normal0"/>
        <w:spacing w:line="360" w:lineRule="auto"/>
        <w:ind w:firstLine="720"/>
        <w:jc w:val="both"/>
        <w:rPr>
          <w:rFonts w:eastAsia="Arial"/>
          <w:szCs w:val="22"/>
        </w:rPr>
      </w:pPr>
    </w:p>
    <w:p w:rsidR="006770DE" w:rsidRDefault="006770DE" w:rsidP="006770DE">
      <w:pPr>
        <w:pStyle w:val="Corpodetexto"/>
        <w:rPr>
          <w:sz w:val="20"/>
        </w:rPr>
      </w:pPr>
    </w:p>
    <w:p w:rsidR="006770DE" w:rsidRDefault="006770DE" w:rsidP="006770DE">
      <w:pPr>
        <w:pStyle w:val="Corpodetexto"/>
        <w:spacing w:before="1"/>
        <w:rPr>
          <w:sz w:val="19"/>
        </w:rPr>
      </w:pPr>
    </w:p>
    <w:tbl>
      <w:tblPr>
        <w:tblStyle w:val="TableNormal"/>
        <w:tblW w:w="981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0"/>
        <w:gridCol w:w="1477"/>
        <w:gridCol w:w="791"/>
        <w:gridCol w:w="1276"/>
        <w:gridCol w:w="1276"/>
      </w:tblGrid>
      <w:tr w:rsidR="006770DE" w:rsidTr="00DC796B">
        <w:trPr>
          <w:trHeight w:val="827"/>
        </w:trPr>
        <w:tc>
          <w:tcPr>
            <w:tcW w:w="4990" w:type="dxa"/>
          </w:tcPr>
          <w:p w:rsidR="006770DE" w:rsidRDefault="006770DE" w:rsidP="00DC796B">
            <w:pPr>
              <w:pStyle w:val="TableParagraph"/>
              <w:spacing w:before="3"/>
              <w:rPr>
                <w:sz w:val="23"/>
              </w:rPr>
            </w:pPr>
          </w:p>
          <w:p w:rsidR="006770DE" w:rsidRDefault="006770DE" w:rsidP="00DC796B">
            <w:pPr>
              <w:pStyle w:val="TableParagraph"/>
              <w:ind w:left="1538"/>
              <w:rPr>
                <w:sz w:val="24"/>
              </w:rPr>
            </w:pPr>
            <w:r>
              <w:rPr>
                <w:sz w:val="24"/>
              </w:rPr>
              <w:t>Descrição</w:t>
            </w:r>
          </w:p>
        </w:tc>
        <w:tc>
          <w:tcPr>
            <w:tcW w:w="1477" w:type="dxa"/>
          </w:tcPr>
          <w:p w:rsidR="006770DE" w:rsidRDefault="006770DE" w:rsidP="00DC796B">
            <w:pPr>
              <w:pStyle w:val="TableParagraph"/>
            </w:pPr>
            <w:r>
              <w:t>unidade</w:t>
            </w:r>
          </w:p>
        </w:tc>
        <w:tc>
          <w:tcPr>
            <w:tcW w:w="791" w:type="dxa"/>
          </w:tcPr>
          <w:p w:rsidR="006770DE" w:rsidRDefault="006770DE" w:rsidP="00DC796B">
            <w:pPr>
              <w:pStyle w:val="TableParagraph"/>
            </w:pPr>
            <w:r>
              <w:t xml:space="preserve"> QTD.</w:t>
            </w:r>
          </w:p>
        </w:tc>
        <w:tc>
          <w:tcPr>
            <w:tcW w:w="1276" w:type="dxa"/>
          </w:tcPr>
          <w:p w:rsidR="006770DE" w:rsidRDefault="006770DE" w:rsidP="00DC796B">
            <w:pPr>
              <w:pStyle w:val="TableParagraph"/>
              <w:jc w:val="center"/>
            </w:pPr>
            <w:r>
              <w:t>Valor</w:t>
            </w:r>
          </w:p>
          <w:p w:rsidR="006770DE" w:rsidRDefault="006770DE" w:rsidP="00DC796B">
            <w:pPr>
              <w:pStyle w:val="TableParagraph"/>
              <w:jc w:val="center"/>
            </w:pPr>
            <w:r>
              <w:t>unitário</w:t>
            </w:r>
          </w:p>
        </w:tc>
        <w:tc>
          <w:tcPr>
            <w:tcW w:w="1276" w:type="dxa"/>
          </w:tcPr>
          <w:p w:rsidR="006770DE" w:rsidRDefault="006770DE" w:rsidP="00DC796B">
            <w:pPr>
              <w:pStyle w:val="TableParagraph"/>
              <w:jc w:val="center"/>
            </w:pPr>
            <w:r>
              <w:t>Valor</w:t>
            </w:r>
          </w:p>
          <w:p w:rsidR="006770DE" w:rsidRDefault="006770DE" w:rsidP="00DC796B">
            <w:pPr>
              <w:pStyle w:val="TableParagraph"/>
              <w:jc w:val="center"/>
            </w:pPr>
            <w:r>
              <w:t>total</w:t>
            </w:r>
          </w:p>
        </w:tc>
      </w:tr>
      <w:tr w:rsidR="006770DE" w:rsidTr="00DC796B">
        <w:trPr>
          <w:trHeight w:val="1105"/>
        </w:trPr>
        <w:tc>
          <w:tcPr>
            <w:tcW w:w="4990" w:type="dxa"/>
          </w:tcPr>
          <w:p w:rsidR="006770DE" w:rsidRDefault="006770DE" w:rsidP="00DC796B">
            <w:pPr>
              <w:pStyle w:val="TableParagraph"/>
              <w:spacing w:before="3"/>
              <w:rPr>
                <w:sz w:val="23"/>
              </w:rPr>
            </w:pPr>
          </w:p>
          <w:p w:rsidR="006770DE" w:rsidRPr="002355E0" w:rsidRDefault="006770DE" w:rsidP="00DC796B">
            <w:pPr>
              <w:widowControl/>
              <w:adjustRightInd w:val="0"/>
              <w:jc w:val="both"/>
              <w:rPr>
                <w:rFonts w:eastAsia="ArialMT"/>
                <w:b/>
                <w:sz w:val="24"/>
                <w:szCs w:val="24"/>
                <w:lang w:val="pt-BR"/>
              </w:rPr>
            </w:pPr>
            <w:r>
              <w:rPr>
                <w:rFonts w:eastAsia="ArialMT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Sistema GNSS RTK completo - 02 (dois) receptores GNSS de alta precisão (base e rover), 01 (uma) controladora/coletora de dados, 01 (uma) licença de software de campo e os acessórios necessários ao pleno funcionamento do conjunto</w:t>
            </w:r>
          </w:p>
        </w:tc>
        <w:tc>
          <w:tcPr>
            <w:tcW w:w="1477" w:type="dxa"/>
          </w:tcPr>
          <w:p w:rsidR="006770DE" w:rsidRDefault="006770DE" w:rsidP="00DC796B">
            <w:pPr>
              <w:pStyle w:val="TableParagraph"/>
              <w:jc w:val="center"/>
              <w:rPr>
                <w:b/>
              </w:rPr>
            </w:pPr>
          </w:p>
          <w:p w:rsidR="006770DE" w:rsidRDefault="006770DE" w:rsidP="00DC796B">
            <w:pPr>
              <w:pStyle w:val="TableParagraph"/>
              <w:jc w:val="center"/>
              <w:rPr>
                <w:b/>
              </w:rPr>
            </w:pPr>
          </w:p>
          <w:p w:rsidR="006770DE" w:rsidRPr="002355E0" w:rsidRDefault="006770DE" w:rsidP="00DC796B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UN</w:t>
            </w:r>
          </w:p>
        </w:tc>
        <w:tc>
          <w:tcPr>
            <w:tcW w:w="791" w:type="dxa"/>
          </w:tcPr>
          <w:p w:rsidR="006770DE" w:rsidRPr="002355E0" w:rsidRDefault="006770DE" w:rsidP="006770DE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276" w:type="dxa"/>
          </w:tcPr>
          <w:p w:rsidR="006770DE" w:rsidRDefault="006770DE" w:rsidP="00DC796B">
            <w:pPr>
              <w:pStyle w:val="TableParagraph"/>
            </w:pPr>
          </w:p>
        </w:tc>
        <w:tc>
          <w:tcPr>
            <w:tcW w:w="1276" w:type="dxa"/>
          </w:tcPr>
          <w:p w:rsidR="006770DE" w:rsidRDefault="006770DE" w:rsidP="00DC796B">
            <w:pPr>
              <w:pStyle w:val="TableParagraph"/>
            </w:pPr>
          </w:p>
        </w:tc>
      </w:tr>
    </w:tbl>
    <w:p w:rsidR="006770DE" w:rsidRDefault="006770DE" w:rsidP="006770DE">
      <w:pPr>
        <w:pStyle w:val="Corpodetexto"/>
        <w:spacing w:before="6"/>
        <w:rPr>
          <w:sz w:val="20"/>
        </w:rPr>
      </w:pPr>
    </w:p>
    <w:p w:rsidR="006770DE" w:rsidRDefault="006770DE" w:rsidP="006770DE">
      <w:pPr>
        <w:pStyle w:val="Corpodetexto"/>
        <w:spacing w:before="6"/>
        <w:rPr>
          <w:sz w:val="20"/>
        </w:rPr>
      </w:pPr>
    </w:p>
    <w:p w:rsidR="006770DE" w:rsidRPr="006770DE" w:rsidRDefault="006770DE" w:rsidP="006770DE">
      <w:pPr>
        <w:pStyle w:val="normal0"/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O objeto deverá atender às seguintes especificações:</w:t>
      </w:r>
    </w:p>
    <w:p w:rsidR="006770DE" w:rsidRPr="006770DE" w:rsidRDefault="006770DE" w:rsidP="006770DE">
      <w:pPr>
        <w:pStyle w:val="normal0"/>
        <w:numPr>
          <w:ilvl w:val="2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Receptores GNSS (02 unidades):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Mínimo de 1400 canais GNSS;</w:t>
      </w:r>
    </w:p>
    <w:p w:rsidR="006770DE" w:rsidRPr="003F004A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Rastreamento simultâneo das constelações: GPS (L1, L2, L5); GLONASS (L1, L2, L3); </w:t>
      </w:r>
      <w:proofErr w:type="spellStart"/>
      <w:r w:rsidRPr="006770DE">
        <w:rPr>
          <w:rFonts w:eastAsia="Arial"/>
        </w:rPr>
        <w:t>Galileo</w:t>
      </w:r>
      <w:proofErr w:type="spellEnd"/>
      <w:r w:rsidRPr="006770DE">
        <w:rPr>
          <w:rFonts w:eastAsia="Arial"/>
        </w:rPr>
        <w:t xml:space="preserve"> (E1, E5a, E5b, E6); </w:t>
      </w:r>
      <w:proofErr w:type="spellStart"/>
      <w:proofErr w:type="gramStart"/>
      <w:r w:rsidRPr="006770DE">
        <w:rPr>
          <w:rFonts w:eastAsia="Arial"/>
        </w:rPr>
        <w:t>BeiDou</w:t>
      </w:r>
      <w:proofErr w:type="spellEnd"/>
      <w:proofErr w:type="gramEnd"/>
      <w:r w:rsidRPr="006770DE">
        <w:rPr>
          <w:rFonts w:eastAsia="Arial"/>
        </w:rPr>
        <w:t xml:space="preserve"> (B1, B2, B3); QZSS; SBAS; PPP;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Precisão mínima: RTK Horizontal: </w:t>
      </w:r>
      <w:proofErr w:type="gramStart"/>
      <w:r w:rsidRPr="006770DE">
        <w:rPr>
          <w:rFonts w:eastAsia="Arial"/>
        </w:rPr>
        <w:t>8</w:t>
      </w:r>
      <w:proofErr w:type="gramEnd"/>
      <w:r w:rsidRPr="006770DE">
        <w:rPr>
          <w:rFonts w:eastAsia="Arial"/>
        </w:rPr>
        <w:t xml:space="preserve"> mm + 1 </w:t>
      </w:r>
      <w:proofErr w:type="spellStart"/>
      <w:r w:rsidRPr="006770DE">
        <w:rPr>
          <w:rFonts w:eastAsia="Arial"/>
        </w:rPr>
        <w:t>ppm</w:t>
      </w:r>
      <w:proofErr w:type="spellEnd"/>
      <w:r w:rsidRPr="006770DE">
        <w:rPr>
          <w:rFonts w:eastAsia="Arial"/>
        </w:rPr>
        <w:t xml:space="preserve"> RMS; RTK Vertical: 15 mm + 1 </w:t>
      </w:r>
      <w:proofErr w:type="spellStart"/>
      <w:r w:rsidRPr="006770DE">
        <w:rPr>
          <w:rFonts w:eastAsia="Arial"/>
        </w:rPr>
        <w:t>ppm</w:t>
      </w:r>
      <w:proofErr w:type="spellEnd"/>
      <w:r w:rsidRPr="006770DE">
        <w:rPr>
          <w:rFonts w:eastAsia="Arial"/>
        </w:rPr>
        <w:t xml:space="preserve"> RMS; PPK Horizontal: 3 mm + 1 </w:t>
      </w:r>
      <w:proofErr w:type="spellStart"/>
      <w:r w:rsidRPr="006770DE">
        <w:rPr>
          <w:rFonts w:eastAsia="Arial"/>
        </w:rPr>
        <w:t>ppm</w:t>
      </w:r>
      <w:proofErr w:type="spellEnd"/>
      <w:r w:rsidRPr="006770DE">
        <w:rPr>
          <w:rFonts w:eastAsia="Arial"/>
        </w:rPr>
        <w:t xml:space="preserve"> RMS; Estático Alta Precisão: 2,5 mm + 0,1 </w:t>
      </w:r>
      <w:proofErr w:type="spellStart"/>
      <w:r w:rsidRPr="006770DE">
        <w:rPr>
          <w:rFonts w:eastAsia="Arial"/>
        </w:rPr>
        <w:t>ppm</w:t>
      </w:r>
      <w:proofErr w:type="spellEnd"/>
      <w:r w:rsidRPr="006770DE">
        <w:rPr>
          <w:rFonts w:eastAsia="Arial"/>
        </w:rPr>
        <w:t xml:space="preserve"> RMS;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sdt>
        <w:sdtPr>
          <w:tag w:val="goog_rdk_0"/>
          <w:id w:val="-2095491745"/>
        </w:sdtPr>
        <w:sdtContent>
          <w:r w:rsidRPr="006770DE">
            <w:rPr>
              <w:rFonts w:eastAsia="Arial Unicode MS"/>
            </w:rPr>
            <w:t>Tempo de inicialização RTK ≥ 99%</w:t>
          </w:r>
          <w:proofErr w:type="gramStart"/>
          <w:r w:rsidRPr="006770DE">
            <w:rPr>
              <w:rFonts w:eastAsia="Arial Unicode MS"/>
            </w:rPr>
            <w:t>;</w:t>
          </w:r>
          <w:proofErr w:type="gramEnd"/>
        </w:sdtContent>
      </w:sdt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Taxa de posicionamento configurável de </w:t>
      </w:r>
      <w:proofErr w:type="gramStart"/>
      <w:r w:rsidRPr="006770DE">
        <w:rPr>
          <w:rFonts w:eastAsia="Arial"/>
        </w:rPr>
        <w:t>1</w:t>
      </w:r>
      <w:proofErr w:type="gramEnd"/>
      <w:r w:rsidRPr="006770DE">
        <w:rPr>
          <w:rFonts w:eastAsia="Arial"/>
        </w:rPr>
        <w:t xml:space="preserve"> Hz a 10 Hz;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IMU integrada: Atualização mínima de 200 Hz; Operação sem necessidade de calibração; Compensação de inclinação mínima de até 60°; Imune </w:t>
      </w:r>
      <w:proofErr w:type="gramStart"/>
      <w:r w:rsidRPr="006770DE">
        <w:rPr>
          <w:rFonts w:eastAsia="Arial"/>
        </w:rPr>
        <w:t>a</w:t>
      </w:r>
      <w:proofErr w:type="gramEnd"/>
      <w:r w:rsidRPr="006770DE">
        <w:rPr>
          <w:rFonts w:eastAsia="Arial"/>
        </w:rPr>
        <w:t xml:space="preserve"> interferência magnética;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Rádio interno UHF integrado de no mínimo </w:t>
      </w:r>
      <w:proofErr w:type="gramStart"/>
      <w:r w:rsidRPr="006770DE">
        <w:rPr>
          <w:rFonts w:eastAsia="Arial"/>
        </w:rPr>
        <w:t>2W</w:t>
      </w:r>
      <w:proofErr w:type="gramEnd"/>
      <w:r w:rsidRPr="006770DE">
        <w:rPr>
          <w:rFonts w:eastAsia="Arial"/>
        </w:rPr>
        <w:t xml:space="preserve"> com alcance mínimo de 15 km;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Comunicação integrada: Bluetooth, </w:t>
      </w:r>
      <w:proofErr w:type="spellStart"/>
      <w:r w:rsidRPr="006770DE">
        <w:rPr>
          <w:rFonts w:eastAsia="Arial"/>
        </w:rPr>
        <w:t>Wi-Fi</w:t>
      </w:r>
      <w:proofErr w:type="spellEnd"/>
      <w:r w:rsidRPr="006770DE">
        <w:rPr>
          <w:rFonts w:eastAsia="Arial"/>
        </w:rPr>
        <w:t xml:space="preserve"> e modem 4G;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Memória interna mínima de 32 GB, com possibilidade de expansão;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Bateria interna recarregável de íons de lítio com autonomia mínima de: 24 horas em modo </w:t>
      </w:r>
      <w:proofErr w:type="spellStart"/>
      <w:r w:rsidRPr="006770DE">
        <w:rPr>
          <w:rFonts w:eastAsia="Arial"/>
        </w:rPr>
        <w:t>rover</w:t>
      </w:r>
      <w:proofErr w:type="spellEnd"/>
      <w:r w:rsidRPr="006770DE">
        <w:rPr>
          <w:rFonts w:eastAsia="Arial"/>
        </w:rPr>
        <w:t>; 16 horas em modo base;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Grau de proteção mínimo IP67;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Operação em temperaturas de -20°C a +60°C;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Sistema com câmeras integradas para apoio </w:t>
      </w:r>
      <w:proofErr w:type="gramStart"/>
      <w:r w:rsidRPr="006770DE">
        <w:rPr>
          <w:rFonts w:eastAsia="Arial"/>
        </w:rPr>
        <w:t>a</w:t>
      </w:r>
      <w:proofErr w:type="gramEnd"/>
      <w:r w:rsidRPr="006770DE">
        <w:rPr>
          <w:rFonts w:eastAsia="Arial"/>
        </w:rPr>
        <w:t xml:space="preserve"> medição visual e </w:t>
      </w:r>
      <w:proofErr w:type="spellStart"/>
      <w:r w:rsidRPr="006770DE">
        <w:rPr>
          <w:rFonts w:eastAsia="Arial"/>
        </w:rPr>
        <w:t>stakeout</w:t>
      </w:r>
      <w:proofErr w:type="spellEnd"/>
      <w:r w:rsidRPr="006770DE">
        <w:rPr>
          <w:rFonts w:eastAsia="Arial"/>
        </w:rPr>
        <w:t xml:space="preserve">, com: Sensor global </w:t>
      </w:r>
      <w:proofErr w:type="spellStart"/>
      <w:r w:rsidRPr="006770DE">
        <w:rPr>
          <w:rFonts w:eastAsia="Arial"/>
        </w:rPr>
        <w:t>shutter</w:t>
      </w:r>
      <w:proofErr w:type="spellEnd"/>
      <w:r w:rsidRPr="006770DE">
        <w:rPr>
          <w:rFonts w:eastAsia="Arial"/>
        </w:rPr>
        <w:t>; Resolução mínima de 2 MP; Campo de visão mínimo de 75°; Suporte a vídeo.</w:t>
      </w:r>
    </w:p>
    <w:p w:rsidR="006770DE" w:rsidRPr="006770DE" w:rsidRDefault="006770DE" w:rsidP="006770DE">
      <w:pPr>
        <w:pStyle w:val="normal0"/>
        <w:numPr>
          <w:ilvl w:val="2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Controladora / Coletora de Dados (01 unidade):</w:t>
      </w:r>
    </w:p>
    <w:p w:rsid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Sistema operacional </w:t>
      </w:r>
      <w:proofErr w:type="spellStart"/>
      <w:r w:rsidRPr="006770DE">
        <w:rPr>
          <w:rFonts w:eastAsia="Arial"/>
        </w:rPr>
        <w:t>Android</w:t>
      </w:r>
      <w:proofErr w:type="spellEnd"/>
      <w:r w:rsidRPr="006770DE">
        <w:rPr>
          <w:rFonts w:eastAsia="Arial"/>
        </w:rPr>
        <w:t xml:space="preserve"> versão 10 ou superior;</w:t>
      </w:r>
    </w:p>
    <w:p w:rsidR="003F004A" w:rsidRDefault="003F004A" w:rsidP="003F004A">
      <w:pPr>
        <w:pStyle w:val="normal0"/>
        <w:spacing w:line="360" w:lineRule="auto"/>
        <w:ind w:left="1440"/>
        <w:jc w:val="both"/>
        <w:rPr>
          <w:rFonts w:eastAsia="Arial"/>
        </w:rPr>
      </w:pPr>
    </w:p>
    <w:p w:rsidR="003F004A" w:rsidRDefault="003F004A" w:rsidP="003F004A">
      <w:pPr>
        <w:pStyle w:val="normal0"/>
        <w:spacing w:line="360" w:lineRule="auto"/>
        <w:ind w:left="1440"/>
        <w:jc w:val="both"/>
        <w:rPr>
          <w:rFonts w:eastAsia="Arial"/>
        </w:rPr>
      </w:pPr>
    </w:p>
    <w:p w:rsidR="003F004A" w:rsidRDefault="003F004A" w:rsidP="003F004A">
      <w:pPr>
        <w:pStyle w:val="normal0"/>
        <w:spacing w:line="360" w:lineRule="auto"/>
        <w:ind w:left="1440"/>
        <w:jc w:val="both"/>
        <w:rPr>
          <w:rFonts w:eastAsia="Arial"/>
        </w:rPr>
      </w:pPr>
    </w:p>
    <w:p w:rsidR="003F004A" w:rsidRDefault="003F004A" w:rsidP="003F004A">
      <w:pPr>
        <w:pStyle w:val="normal0"/>
        <w:spacing w:line="360" w:lineRule="auto"/>
        <w:ind w:left="1440"/>
        <w:jc w:val="both"/>
        <w:rPr>
          <w:rFonts w:eastAsia="Arial"/>
        </w:rPr>
      </w:pPr>
    </w:p>
    <w:p w:rsidR="003F004A" w:rsidRDefault="003F004A" w:rsidP="003F004A">
      <w:pPr>
        <w:pStyle w:val="normal0"/>
        <w:spacing w:line="360" w:lineRule="auto"/>
        <w:ind w:left="1440"/>
        <w:jc w:val="both"/>
        <w:rPr>
          <w:rFonts w:eastAsia="Arial"/>
        </w:rPr>
      </w:pPr>
    </w:p>
    <w:p w:rsidR="003F004A" w:rsidRPr="006770DE" w:rsidRDefault="003F004A" w:rsidP="003F004A">
      <w:pPr>
        <w:pStyle w:val="normal0"/>
        <w:spacing w:line="360" w:lineRule="auto"/>
        <w:ind w:left="1440"/>
        <w:jc w:val="both"/>
        <w:rPr>
          <w:rFonts w:eastAsia="Arial"/>
        </w:rPr>
      </w:pP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Processador </w:t>
      </w:r>
      <w:proofErr w:type="spellStart"/>
      <w:r w:rsidRPr="006770DE">
        <w:rPr>
          <w:rFonts w:eastAsia="Arial"/>
        </w:rPr>
        <w:t>octa-core</w:t>
      </w:r>
      <w:proofErr w:type="spellEnd"/>
      <w:r w:rsidRPr="006770DE">
        <w:rPr>
          <w:rFonts w:eastAsia="Arial"/>
        </w:rPr>
        <w:t xml:space="preserve"> mínimo 2.0 GHz;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Memória mínima: </w:t>
      </w:r>
      <w:proofErr w:type="gramStart"/>
      <w:r w:rsidRPr="006770DE">
        <w:rPr>
          <w:rFonts w:eastAsia="Arial"/>
        </w:rPr>
        <w:t>3</w:t>
      </w:r>
      <w:proofErr w:type="gramEnd"/>
      <w:r w:rsidRPr="006770DE">
        <w:rPr>
          <w:rFonts w:eastAsia="Arial"/>
        </w:rPr>
        <w:t xml:space="preserve"> GB RAM; 32 GB armazenamento interno; Expansível via cartão de memória;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proofErr w:type="gramStart"/>
      <w:r w:rsidRPr="006770DE">
        <w:rPr>
          <w:rFonts w:eastAsia="Arial"/>
        </w:rPr>
        <w:t>Tela mínima de 5,5”</w:t>
      </w:r>
      <w:proofErr w:type="gramEnd"/>
      <w:r w:rsidRPr="006770DE">
        <w:rPr>
          <w:rFonts w:eastAsia="Arial"/>
        </w:rPr>
        <w:t xml:space="preserve"> HD;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Comunicação: 4G; </w:t>
      </w:r>
      <w:proofErr w:type="spellStart"/>
      <w:r w:rsidRPr="006770DE">
        <w:rPr>
          <w:rFonts w:eastAsia="Arial"/>
        </w:rPr>
        <w:t>Wi-Fi</w:t>
      </w:r>
      <w:proofErr w:type="spellEnd"/>
      <w:r w:rsidRPr="006770DE">
        <w:rPr>
          <w:rFonts w:eastAsia="Arial"/>
        </w:rPr>
        <w:t>; Bluetooth; USB tipo C;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GNSS integrado (GPS, GLONASS, </w:t>
      </w:r>
      <w:proofErr w:type="spellStart"/>
      <w:r w:rsidRPr="006770DE">
        <w:rPr>
          <w:rFonts w:eastAsia="Arial"/>
        </w:rPr>
        <w:t>Galileo</w:t>
      </w:r>
      <w:proofErr w:type="spellEnd"/>
      <w:r w:rsidRPr="006770DE">
        <w:rPr>
          <w:rFonts w:eastAsia="Arial"/>
        </w:rPr>
        <w:t xml:space="preserve"> e </w:t>
      </w:r>
      <w:proofErr w:type="spellStart"/>
      <w:proofErr w:type="gramStart"/>
      <w:r w:rsidRPr="006770DE">
        <w:rPr>
          <w:rFonts w:eastAsia="Arial"/>
        </w:rPr>
        <w:t>BeiDou</w:t>
      </w:r>
      <w:proofErr w:type="spellEnd"/>
      <w:proofErr w:type="gramEnd"/>
      <w:r w:rsidRPr="006770DE">
        <w:rPr>
          <w:rFonts w:eastAsia="Arial"/>
        </w:rPr>
        <w:t>);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Câmera mínima de 13 MP;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Bateria com autonomia mínima de 12 horas;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Grau de proteção mínimo IP67;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Resistência </w:t>
      </w:r>
      <w:proofErr w:type="gramStart"/>
      <w:r w:rsidRPr="006770DE">
        <w:rPr>
          <w:rFonts w:eastAsia="Arial"/>
        </w:rPr>
        <w:t>a</w:t>
      </w:r>
      <w:proofErr w:type="gramEnd"/>
      <w:r w:rsidRPr="006770DE">
        <w:rPr>
          <w:rFonts w:eastAsia="Arial"/>
        </w:rPr>
        <w:t xml:space="preserve"> queda mínima de 1,5 m.</w:t>
      </w:r>
    </w:p>
    <w:p w:rsidR="006770DE" w:rsidRPr="006770DE" w:rsidRDefault="006770DE" w:rsidP="006770DE">
      <w:pPr>
        <w:pStyle w:val="normal0"/>
        <w:numPr>
          <w:ilvl w:val="2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Software de Campo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Licença permanente de software para coleta de dados GNSS;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Compatível com RTK, PPK e pós-processamento;</w:t>
      </w:r>
    </w:p>
    <w:p w:rsidR="006770DE" w:rsidRPr="003F004A" w:rsidRDefault="006770DE" w:rsidP="003F004A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Suporte a formatos DXF, SHP, KML, KMZ, CSV, DAT, TXT e RINEX;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Ferramentas para: Levantamento topográfico; Locação (</w:t>
      </w:r>
      <w:proofErr w:type="spellStart"/>
      <w:r w:rsidRPr="006770DE">
        <w:rPr>
          <w:rFonts w:eastAsia="Arial"/>
        </w:rPr>
        <w:t>stakeout</w:t>
      </w:r>
      <w:proofErr w:type="spellEnd"/>
      <w:r w:rsidRPr="006770DE">
        <w:rPr>
          <w:rFonts w:eastAsia="Arial"/>
        </w:rPr>
        <w:t>); Offset; Medição contínua; Compensação por bolha eletrônica;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Suporte a mapas online e </w:t>
      </w:r>
      <w:proofErr w:type="spellStart"/>
      <w:r w:rsidRPr="006770DE">
        <w:rPr>
          <w:rFonts w:eastAsia="Arial"/>
        </w:rPr>
        <w:t>offline</w:t>
      </w:r>
      <w:proofErr w:type="spellEnd"/>
      <w:r w:rsidRPr="006770DE">
        <w:rPr>
          <w:rFonts w:eastAsia="Arial"/>
        </w:rPr>
        <w:t>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Interface gráfica para visualização CAD em campo.</w:t>
      </w:r>
    </w:p>
    <w:p w:rsidR="006770DE" w:rsidRPr="006770DE" w:rsidRDefault="006770DE" w:rsidP="006770DE">
      <w:pPr>
        <w:pStyle w:val="normal0"/>
        <w:numPr>
          <w:ilvl w:val="2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Acessórios Inclusos;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proofErr w:type="gramStart"/>
      <w:r w:rsidRPr="006770DE">
        <w:rPr>
          <w:rFonts w:eastAsia="Arial"/>
        </w:rPr>
        <w:t>01 Tripé em alumínio com rosca 5/8”</w:t>
      </w:r>
      <w:proofErr w:type="gramEnd"/>
      <w:r w:rsidRPr="006770DE">
        <w:rPr>
          <w:rFonts w:eastAsia="Arial"/>
        </w:rPr>
        <w:t>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01 Base </w:t>
      </w:r>
      <w:proofErr w:type="spellStart"/>
      <w:r w:rsidRPr="006770DE">
        <w:rPr>
          <w:rFonts w:eastAsia="Arial"/>
        </w:rPr>
        <w:t>nivelante</w:t>
      </w:r>
      <w:proofErr w:type="spellEnd"/>
      <w:r w:rsidRPr="006770DE">
        <w:rPr>
          <w:rFonts w:eastAsia="Arial"/>
        </w:rPr>
        <w:t xml:space="preserve"> com prumo óptico;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01 Bastão em fibra de carbono (</w:t>
      </w:r>
      <w:proofErr w:type="gramStart"/>
      <w:r w:rsidRPr="006770DE">
        <w:rPr>
          <w:rFonts w:eastAsia="Arial"/>
        </w:rPr>
        <w:t>mínimo 2</w:t>
      </w:r>
      <w:proofErr w:type="gramEnd"/>
      <w:r w:rsidRPr="006770DE">
        <w:rPr>
          <w:rFonts w:eastAsia="Arial"/>
        </w:rPr>
        <w:t xml:space="preserve"> metros);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01 Suporte para fixação da coletora no bastão;</w:t>
      </w:r>
    </w:p>
    <w:p w:rsidR="006770DE" w:rsidRPr="006770DE" w:rsidRDefault="006770DE" w:rsidP="006770DE">
      <w:pPr>
        <w:pStyle w:val="normal0"/>
        <w:numPr>
          <w:ilvl w:val="3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Cabos, carregadores e demais componentes necessários ao pleno funcionamento do sistema.</w:t>
      </w:r>
    </w:p>
    <w:p w:rsidR="006770DE" w:rsidRPr="006770DE" w:rsidRDefault="006770DE" w:rsidP="006770DE">
      <w:pPr>
        <w:pStyle w:val="normal0"/>
        <w:numPr>
          <w:ilvl w:val="2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Serviços Inclusos;</w:t>
      </w:r>
    </w:p>
    <w:p w:rsidR="006770DE" w:rsidRPr="006770DE" w:rsidRDefault="006770DE" w:rsidP="006770DE">
      <w:pPr>
        <w:pStyle w:val="normal0"/>
        <w:numPr>
          <w:ilvl w:val="2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Licenças de ativação dos receptores;</w:t>
      </w:r>
    </w:p>
    <w:p w:rsidR="006770DE" w:rsidRPr="006770DE" w:rsidRDefault="006770DE" w:rsidP="006770DE">
      <w:pPr>
        <w:pStyle w:val="normal0"/>
        <w:numPr>
          <w:ilvl w:val="2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Licença de ativação da coletora;</w:t>
      </w:r>
    </w:p>
    <w:p w:rsidR="006770DE" w:rsidRPr="006770DE" w:rsidRDefault="006770DE" w:rsidP="006770DE">
      <w:pPr>
        <w:pStyle w:val="normal0"/>
        <w:numPr>
          <w:ilvl w:val="2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Garantia mínima de 12 meses contra defeitos de fabricação;</w:t>
      </w:r>
    </w:p>
    <w:p w:rsidR="006770DE" w:rsidRPr="006770DE" w:rsidRDefault="006770DE" w:rsidP="006770DE">
      <w:pPr>
        <w:pStyle w:val="normal0"/>
        <w:numPr>
          <w:ilvl w:val="2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Suporte técnico remoto mínimo de 12 meses.</w:t>
      </w:r>
    </w:p>
    <w:p w:rsidR="006770DE" w:rsidRDefault="006770DE" w:rsidP="003F004A">
      <w:pPr>
        <w:pStyle w:val="normal0"/>
        <w:spacing w:line="360" w:lineRule="auto"/>
        <w:ind w:left="1080"/>
        <w:jc w:val="both"/>
        <w:rPr>
          <w:rFonts w:eastAsia="Arial"/>
        </w:rPr>
      </w:pPr>
    </w:p>
    <w:p w:rsidR="003F004A" w:rsidRDefault="003F004A" w:rsidP="003F004A">
      <w:pPr>
        <w:pStyle w:val="normal0"/>
        <w:spacing w:line="360" w:lineRule="auto"/>
        <w:ind w:left="1080"/>
        <w:jc w:val="both"/>
        <w:rPr>
          <w:rFonts w:eastAsia="Arial"/>
        </w:rPr>
      </w:pPr>
    </w:p>
    <w:p w:rsidR="003F004A" w:rsidRDefault="003F004A" w:rsidP="003F004A">
      <w:pPr>
        <w:pStyle w:val="normal0"/>
        <w:spacing w:line="360" w:lineRule="auto"/>
        <w:ind w:left="1080"/>
        <w:jc w:val="both"/>
        <w:rPr>
          <w:rFonts w:eastAsia="Arial"/>
        </w:rPr>
      </w:pPr>
    </w:p>
    <w:p w:rsidR="003F004A" w:rsidRDefault="003F004A" w:rsidP="003F004A">
      <w:pPr>
        <w:pStyle w:val="normal0"/>
        <w:spacing w:line="360" w:lineRule="auto"/>
        <w:ind w:left="1080"/>
        <w:jc w:val="both"/>
        <w:rPr>
          <w:rFonts w:eastAsia="Arial"/>
        </w:rPr>
      </w:pPr>
    </w:p>
    <w:p w:rsidR="003F004A" w:rsidRPr="006770DE" w:rsidRDefault="003F004A" w:rsidP="003F004A">
      <w:pPr>
        <w:pStyle w:val="normal0"/>
        <w:spacing w:line="360" w:lineRule="auto"/>
        <w:ind w:left="1080"/>
        <w:jc w:val="both"/>
        <w:rPr>
          <w:rFonts w:eastAsia="Arial"/>
        </w:rPr>
      </w:pPr>
    </w:p>
    <w:p w:rsidR="006770DE" w:rsidRPr="006770DE" w:rsidRDefault="006770DE" w:rsidP="006770DE">
      <w:pPr>
        <w:pStyle w:val="normal0"/>
        <w:numPr>
          <w:ilvl w:val="1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O fornecedor deverá fornecer o serviço em conformidade com a descrição contida no termo de referência, </w:t>
      </w:r>
      <w:proofErr w:type="gramStart"/>
      <w:r w:rsidRPr="006770DE">
        <w:rPr>
          <w:rFonts w:eastAsia="Arial"/>
        </w:rPr>
        <w:t>os termo</w:t>
      </w:r>
      <w:proofErr w:type="gramEnd"/>
      <w:r w:rsidRPr="006770DE">
        <w:rPr>
          <w:rFonts w:eastAsia="Arial"/>
        </w:rPr>
        <w:t xml:space="preserve"> previstos no edital e demais documentos relacionados ao processo licitatório;</w:t>
      </w:r>
    </w:p>
    <w:p w:rsidR="006770DE" w:rsidRPr="006770DE" w:rsidRDefault="006770DE" w:rsidP="006770DE">
      <w:pPr>
        <w:pStyle w:val="normal0"/>
        <w:numPr>
          <w:ilvl w:val="1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 xml:space="preserve">O pagamento será realizado, após o recebimento definitivo do(s) </w:t>
      </w:r>
      <w:proofErr w:type="gramStart"/>
      <w:r w:rsidRPr="006770DE">
        <w:rPr>
          <w:rFonts w:eastAsia="Arial"/>
        </w:rPr>
        <w:t>item(</w:t>
      </w:r>
      <w:proofErr w:type="spellStart"/>
      <w:proofErr w:type="gramEnd"/>
      <w:r w:rsidRPr="006770DE">
        <w:rPr>
          <w:rFonts w:eastAsia="Arial"/>
        </w:rPr>
        <w:t>ns</w:t>
      </w:r>
      <w:proofErr w:type="spellEnd"/>
      <w:r w:rsidRPr="006770DE">
        <w:rPr>
          <w:rFonts w:eastAsia="Arial"/>
        </w:rPr>
        <w:t>) em até 15 dias a partir do atesto da nota fiscal;</w:t>
      </w:r>
    </w:p>
    <w:p w:rsidR="006770DE" w:rsidRPr="006770DE" w:rsidRDefault="006770DE" w:rsidP="006770DE">
      <w:pPr>
        <w:pStyle w:val="normal0"/>
        <w:numPr>
          <w:ilvl w:val="1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Em conformidade com o art. 62, da Lei número 14.133/2021 deverá ser apresentada a documentação para demonstração da capacidade do licitante de cumprir o objeto da licitação, dividindo-se em:</w:t>
      </w:r>
    </w:p>
    <w:p w:rsidR="006770DE" w:rsidRPr="006770DE" w:rsidRDefault="006770DE" w:rsidP="006770DE">
      <w:pPr>
        <w:pStyle w:val="normal0"/>
        <w:numPr>
          <w:ilvl w:val="2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Jurídica;</w:t>
      </w:r>
    </w:p>
    <w:p w:rsidR="006770DE" w:rsidRPr="006770DE" w:rsidRDefault="006770DE" w:rsidP="006770DE">
      <w:pPr>
        <w:pStyle w:val="normal0"/>
        <w:numPr>
          <w:ilvl w:val="2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Técnica;</w:t>
      </w:r>
    </w:p>
    <w:p w:rsidR="006770DE" w:rsidRPr="006770DE" w:rsidRDefault="006770DE" w:rsidP="006770DE">
      <w:pPr>
        <w:pStyle w:val="normal0"/>
        <w:numPr>
          <w:ilvl w:val="2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Fiscal, social e trabalhista;</w:t>
      </w:r>
    </w:p>
    <w:p w:rsidR="006770DE" w:rsidRPr="006770DE" w:rsidRDefault="006770DE" w:rsidP="006770DE">
      <w:pPr>
        <w:pStyle w:val="normal0"/>
        <w:numPr>
          <w:ilvl w:val="2"/>
          <w:numId w:val="2"/>
        </w:numPr>
        <w:spacing w:line="360" w:lineRule="auto"/>
        <w:jc w:val="both"/>
        <w:rPr>
          <w:rFonts w:eastAsia="Arial"/>
        </w:rPr>
      </w:pPr>
      <w:r w:rsidRPr="006770DE">
        <w:rPr>
          <w:rFonts w:eastAsia="Arial"/>
        </w:rPr>
        <w:t>Econômico-financeira;</w:t>
      </w:r>
    </w:p>
    <w:p w:rsidR="006770DE" w:rsidRPr="003F004A" w:rsidRDefault="006770DE" w:rsidP="003F004A">
      <w:pPr>
        <w:pStyle w:val="normal0"/>
        <w:numPr>
          <w:ilvl w:val="1"/>
          <w:numId w:val="2"/>
        </w:numPr>
        <w:spacing w:line="360" w:lineRule="auto"/>
        <w:jc w:val="both"/>
        <w:rPr>
          <w:rFonts w:eastAsia="Arial"/>
        </w:rPr>
      </w:pPr>
      <w:proofErr w:type="gramStart"/>
      <w:r w:rsidRPr="006770DE">
        <w:rPr>
          <w:rFonts w:eastAsia="Arial"/>
        </w:rPr>
        <w:t>Deverá</w:t>
      </w:r>
      <w:proofErr w:type="gramEnd"/>
      <w:r w:rsidRPr="006770DE">
        <w:rPr>
          <w:rFonts w:eastAsia="Arial"/>
        </w:rPr>
        <w:t xml:space="preserve"> ser mantida, durante toda a execução do contrato, em compatibilidade com as obrigações assumidas, todas as condições de habilitação e qualificação exigidas na presente contrataçã</w:t>
      </w:r>
      <w:r w:rsidR="003F004A">
        <w:rPr>
          <w:rFonts w:eastAsia="Arial"/>
        </w:rPr>
        <w:t>o.</w:t>
      </w:r>
    </w:p>
    <w:p w:rsidR="006770DE" w:rsidRPr="006770DE" w:rsidRDefault="006770DE" w:rsidP="006770DE">
      <w:pPr>
        <w:pStyle w:val="normal0"/>
        <w:spacing w:line="360" w:lineRule="auto"/>
        <w:ind w:left="720"/>
        <w:jc w:val="both"/>
        <w:rPr>
          <w:rFonts w:eastAsia="Arial"/>
        </w:rPr>
      </w:pPr>
    </w:p>
    <w:p w:rsidR="006770DE" w:rsidRPr="006770DE" w:rsidRDefault="006770DE" w:rsidP="006770DE">
      <w:pPr>
        <w:pStyle w:val="normal0"/>
        <w:numPr>
          <w:ilvl w:val="1"/>
          <w:numId w:val="2"/>
        </w:numPr>
        <w:spacing w:line="360" w:lineRule="auto"/>
        <w:jc w:val="both"/>
        <w:rPr>
          <w:rFonts w:eastAsia="Arial"/>
        </w:rPr>
      </w:pPr>
      <w:proofErr w:type="gramStart"/>
      <w:r w:rsidRPr="006770DE">
        <w:rPr>
          <w:rFonts w:eastAsia="Arial"/>
        </w:rPr>
        <w:t>O(</w:t>
      </w:r>
      <w:proofErr w:type="gramEnd"/>
      <w:r w:rsidRPr="006770DE">
        <w:rPr>
          <w:rFonts w:eastAsia="Arial"/>
        </w:rPr>
        <w:t>a) contratado(a) responsabilizar-se pelas despesas dos tributos, encargos trabalhistas, previdenciários, fiscais, comerciais, taxas, fretes, seguros, deslocamento de pessoal, prestação de garantia e quaisquer outras que incidam ou venham a incidir na execução do contrato.</w:t>
      </w:r>
    </w:p>
    <w:p w:rsidR="006770DE" w:rsidRPr="006770DE" w:rsidRDefault="006770DE" w:rsidP="006770DE">
      <w:pPr>
        <w:pStyle w:val="Corpodetexto"/>
        <w:spacing w:before="6"/>
        <w:rPr>
          <w:sz w:val="24"/>
          <w:szCs w:val="24"/>
        </w:rPr>
      </w:pPr>
    </w:p>
    <w:p w:rsidR="006770DE" w:rsidRDefault="006770DE" w:rsidP="006770DE">
      <w:pPr>
        <w:pStyle w:val="Corpodetexto"/>
        <w:spacing w:before="6"/>
        <w:rPr>
          <w:sz w:val="20"/>
        </w:rPr>
      </w:pPr>
    </w:p>
    <w:p w:rsidR="006770DE" w:rsidRDefault="006770DE" w:rsidP="006770DE">
      <w:pPr>
        <w:pStyle w:val="Corpodetexto"/>
        <w:spacing w:before="6"/>
        <w:rPr>
          <w:sz w:val="24"/>
        </w:rPr>
      </w:pPr>
      <w:r w:rsidRPr="00FE61A0">
        <w:pict>
          <v:shape id="_x0000_s1034" type="#_x0000_t202" style="position:absolute;margin-left:79.7pt;margin-top:16.35pt;width:459.15pt;height:13.1pt;z-index:-251652096;mso-wrap-distance-left:0;mso-wrap-distance-right:0;mso-position-horizontal-relative:page" filled="f" strokeweight=".48pt">
            <v:textbox style="mso-next-textbox:#_x0000_s1034" inset="0,0,0,0">
              <w:txbxContent>
                <w:p w:rsidR="006770DE" w:rsidRDefault="006770DE" w:rsidP="006770DE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5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–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PRAZO</w:t>
                  </w:r>
                  <w:r>
                    <w:rPr>
                      <w:b/>
                      <w:spacing w:val="3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DE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RESPOSTA</w:t>
                  </w:r>
                  <w:r>
                    <w:rPr>
                      <w:b/>
                      <w:spacing w:val="44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E LOCAL</w:t>
                  </w:r>
                  <w:r>
                    <w:rPr>
                      <w:b/>
                      <w:spacing w:val="-13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PARA</w:t>
                  </w:r>
                  <w:r>
                    <w:rPr>
                      <w:b/>
                      <w:spacing w:val="-12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ENTREGA</w:t>
                  </w:r>
                  <w:r>
                    <w:rPr>
                      <w:b/>
                      <w:spacing w:val="42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DA</w:t>
                  </w:r>
                  <w:r>
                    <w:rPr>
                      <w:b/>
                      <w:spacing w:val="-14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COTAÇÃO</w:t>
                  </w:r>
                </w:p>
              </w:txbxContent>
            </v:textbox>
            <w10:wrap type="topAndBottom" anchorx="page"/>
          </v:shape>
        </w:pict>
      </w:r>
    </w:p>
    <w:p w:rsidR="006770DE" w:rsidRDefault="006770DE" w:rsidP="006770DE">
      <w:pPr>
        <w:pStyle w:val="Corpodetexto"/>
        <w:spacing w:before="6"/>
        <w:rPr>
          <w:sz w:val="24"/>
        </w:rPr>
      </w:pPr>
    </w:p>
    <w:p w:rsidR="006770DE" w:rsidRDefault="006770DE" w:rsidP="006770DE">
      <w:pPr>
        <w:pStyle w:val="Corpodetexto"/>
        <w:spacing w:before="10"/>
        <w:rPr>
          <w:sz w:val="12"/>
        </w:rPr>
      </w:pPr>
    </w:p>
    <w:p w:rsidR="006770DE" w:rsidRDefault="006770DE" w:rsidP="006770DE">
      <w:pPr>
        <w:pStyle w:val="Heading1"/>
        <w:jc w:val="both"/>
      </w:pPr>
      <w:r>
        <w:t>Após publicação, a  presente cotação de preços deverá ser protocolada em até 3 dias úteis ,</w:t>
      </w:r>
      <w:r>
        <w:rPr>
          <w:spacing w:val="1"/>
        </w:rPr>
        <w:t xml:space="preserve"> </w:t>
      </w:r>
      <w:r>
        <w:t>na recpção da Prefeitura Municipal de Estiva/MG, situada na Avenida Prefeito</w:t>
      </w:r>
      <w:r>
        <w:rPr>
          <w:spacing w:val="1"/>
        </w:rPr>
        <w:t xml:space="preserve"> </w:t>
      </w:r>
      <w:r>
        <w:t>Gabriel Rosa, 177, centro, Estiva, Minas Gerais, CEP 37.542-000 ou enviada para o e-mail</w:t>
      </w:r>
      <w:r>
        <w:rPr>
          <w:spacing w:val="1"/>
        </w:rPr>
        <w:t xml:space="preserve"> </w:t>
      </w:r>
      <w:hyperlink r:id="rId9" w:history="1">
        <w:r w:rsidRPr="005E3CBC">
          <w:rPr>
            <w:rStyle w:val="Hyperlink"/>
            <w:u w:color="0000FF"/>
          </w:rPr>
          <w:t>compras@estiva.mg.gov.br</w:t>
        </w:r>
        <w:r w:rsidRPr="005E3CBC">
          <w:rPr>
            <w:rStyle w:val="Hyperlink"/>
          </w:rPr>
          <w:t>.</w:t>
        </w:r>
      </w:hyperlink>
    </w:p>
    <w:p w:rsidR="006770DE" w:rsidRDefault="006770DE" w:rsidP="006770DE">
      <w:pPr>
        <w:pStyle w:val="Corpodetexto"/>
        <w:rPr>
          <w:sz w:val="20"/>
        </w:rPr>
      </w:pPr>
    </w:p>
    <w:p w:rsidR="006770DE" w:rsidRDefault="006770DE" w:rsidP="006770DE">
      <w:pPr>
        <w:pStyle w:val="Corpodetexto"/>
        <w:spacing w:before="4"/>
        <w:rPr>
          <w:sz w:val="25"/>
        </w:rPr>
      </w:pPr>
      <w:r w:rsidRPr="00FE61A0">
        <w:pict>
          <v:shape id="_x0000_s1035" type="#_x0000_t202" style="position:absolute;margin-left:79.7pt;margin-top:16.8pt;width:459.15pt;height:13.2pt;z-index:-251651072;mso-wrap-distance-left:0;mso-wrap-distance-right:0;mso-position-horizontal-relative:page" filled="f" strokeweight=".48pt">
            <v:textbox inset="0,0,0,0">
              <w:txbxContent>
                <w:p w:rsidR="006770DE" w:rsidRPr="003F004A" w:rsidRDefault="006770DE" w:rsidP="006770DE">
                  <w:pPr>
                    <w:rPr>
                      <w:lang w:val="pt-BR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6770DE" w:rsidRDefault="006770DE" w:rsidP="006770DE">
      <w:pPr>
        <w:pStyle w:val="Corpodetexto"/>
        <w:spacing w:before="10"/>
        <w:rPr>
          <w:sz w:val="10"/>
        </w:rPr>
      </w:pPr>
    </w:p>
    <w:p w:rsidR="006770DE" w:rsidRDefault="006770DE" w:rsidP="006770DE">
      <w:pPr>
        <w:pStyle w:val="Corpodetexto"/>
        <w:rPr>
          <w:sz w:val="20"/>
        </w:rPr>
      </w:pPr>
    </w:p>
    <w:p w:rsidR="006770DE" w:rsidRDefault="006770DE" w:rsidP="006770DE">
      <w:pPr>
        <w:pStyle w:val="Corpodetexto"/>
      </w:pPr>
    </w:p>
    <w:p w:rsidR="006770DE" w:rsidRDefault="003F004A" w:rsidP="003F004A">
      <w:pPr>
        <w:pStyle w:val="Heading1"/>
        <w:ind w:left="2185" w:right="2075"/>
        <w:jc w:val="right"/>
      </w:pPr>
      <w:r>
        <w:t xml:space="preserve">   E</w:t>
      </w:r>
      <w:r w:rsidR="006770DE">
        <w:t>stiva,</w:t>
      </w:r>
      <w:r w:rsidR="006770DE">
        <w:rPr>
          <w:spacing w:val="-1"/>
        </w:rPr>
        <w:t xml:space="preserve"> </w:t>
      </w:r>
      <w:r w:rsidR="006770DE">
        <w:t>24 de Março de 2026</w:t>
      </w:r>
    </w:p>
    <w:p w:rsidR="006770DE" w:rsidRDefault="006770DE" w:rsidP="006770DE">
      <w:pPr>
        <w:pStyle w:val="Corpodetexto"/>
        <w:rPr>
          <w:sz w:val="20"/>
        </w:rPr>
      </w:pPr>
    </w:p>
    <w:p w:rsidR="006770DE" w:rsidRDefault="006770DE" w:rsidP="006770DE">
      <w:pPr>
        <w:pStyle w:val="Corpodetexto"/>
        <w:rPr>
          <w:sz w:val="20"/>
        </w:rPr>
      </w:pPr>
    </w:p>
    <w:p w:rsidR="006770DE" w:rsidRDefault="006770DE" w:rsidP="006770DE">
      <w:pPr>
        <w:pStyle w:val="Corpodetexto"/>
        <w:rPr>
          <w:sz w:val="20"/>
        </w:rPr>
      </w:pPr>
    </w:p>
    <w:p w:rsidR="006770DE" w:rsidRDefault="006770DE" w:rsidP="006770DE">
      <w:pPr>
        <w:pStyle w:val="Corpodetexto"/>
        <w:rPr>
          <w:sz w:val="20"/>
        </w:rPr>
      </w:pPr>
    </w:p>
    <w:p w:rsidR="006770DE" w:rsidRDefault="006770DE" w:rsidP="006770DE">
      <w:pPr>
        <w:pStyle w:val="Corpodetexto"/>
        <w:spacing w:before="1"/>
        <w:jc w:val="center"/>
      </w:pPr>
    </w:p>
    <w:p w:rsidR="003F004A" w:rsidRDefault="003F004A" w:rsidP="006770DE">
      <w:pPr>
        <w:pStyle w:val="Corpodetexto"/>
        <w:spacing w:before="1"/>
        <w:jc w:val="center"/>
      </w:pPr>
    </w:p>
    <w:p w:rsidR="003F004A" w:rsidRDefault="003F004A" w:rsidP="006770DE">
      <w:pPr>
        <w:pStyle w:val="Corpodetexto"/>
        <w:spacing w:before="1"/>
        <w:jc w:val="center"/>
      </w:pPr>
    </w:p>
    <w:p w:rsidR="003F004A" w:rsidRDefault="003F004A" w:rsidP="006770DE">
      <w:pPr>
        <w:pStyle w:val="Corpodetexto"/>
        <w:spacing w:before="1"/>
        <w:jc w:val="center"/>
      </w:pPr>
    </w:p>
    <w:p w:rsidR="003F004A" w:rsidRDefault="003F004A" w:rsidP="006770DE">
      <w:pPr>
        <w:pStyle w:val="Corpodetexto"/>
        <w:spacing w:before="1"/>
        <w:jc w:val="center"/>
      </w:pPr>
    </w:p>
    <w:p w:rsidR="003F004A" w:rsidRDefault="003F004A" w:rsidP="006770DE">
      <w:pPr>
        <w:pStyle w:val="Corpodetexto"/>
        <w:spacing w:before="1"/>
        <w:jc w:val="center"/>
      </w:pPr>
    </w:p>
    <w:p w:rsidR="003F004A" w:rsidRDefault="003F004A" w:rsidP="006770DE">
      <w:pPr>
        <w:pStyle w:val="Corpodetexto"/>
        <w:spacing w:before="1"/>
        <w:jc w:val="center"/>
      </w:pPr>
    </w:p>
    <w:p w:rsidR="003F004A" w:rsidRDefault="003F004A" w:rsidP="006770DE">
      <w:pPr>
        <w:pStyle w:val="Corpodetexto"/>
        <w:spacing w:before="1"/>
        <w:jc w:val="center"/>
      </w:pPr>
    </w:p>
    <w:p w:rsidR="003F004A" w:rsidRDefault="003F004A" w:rsidP="006770DE">
      <w:pPr>
        <w:pStyle w:val="Corpodetexto"/>
        <w:spacing w:before="1"/>
        <w:jc w:val="center"/>
      </w:pPr>
    </w:p>
    <w:p w:rsidR="003F004A" w:rsidRDefault="003F004A" w:rsidP="006770DE">
      <w:pPr>
        <w:pStyle w:val="Corpodetexto"/>
        <w:spacing w:before="1"/>
        <w:jc w:val="center"/>
      </w:pPr>
    </w:p>
    <w:p w:rsidR="003F004A" w:rsidRDefault="003F004A" w:rsidP="006770DE">
      <w:pPr>
        <w:pStyle w:val="Corpodetexto"/>
        <w:spacing w:before="1"/>
        <w:jc w:val="center"/>
      </w:pPr>
    </w:p>
    <w:p w:rsidR="006770DE" w:rsidRDefault="006770DE" w:rsidP="006770DE">
      <w:pPr>
        <w:pStyle w:val="Corpodetexto"/>
        <w:spacing w:before="1"/>
        <w:jc w:val="center"/>
      </w:pPr>
      <w:r w:rsidRPr="00FE61A0">
        <w:pict>
          <v:shape id="_x0000_s1036" style="position:absolute;left:0;text-align:left;margin-left:215.15pt;margin-top:4.6pt;width:192.75pt;height:.1pt;z-index:-251650048;mso-wrap-distance-left:0;mso-wrap-distance-right:0;mso-position-horizontal-relative:page" coordorigin="1702,344" coordsize="3855,0" o:spt="100" adj="0,,0" path="m1702,344r2640,m4344,344r1212,e" filled="f" strokeweight=".15581mm">
            <v:stroke joinstyle="round"/>
            <v:formulas/>
            <v:path arrowok="t" o:connecttype="segments"/>
            <w10:wrap type="topAndBottom" anchorx="page"/>
          </v:shape>
        </w:pict>
      </w:r>
      <w:r>
        <w:t>Responsável</w:t>
      </w:r>
      <w:r>
        <w:rPr>
          <w:spacing w:val="-3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fornecimento</w:t>
      </w:r>
      <w:r>
        <w:rPr>
          <w:spacing w:val="-3"/>
        </w:rPr>
        <w:t xml:space="preserve"> </w:t>
      </w:r>
      <w:r>
        <w:t>da cotação</w:t>
      </w:r>
    </w:p>
    <w:p w:rsidR="00CC4B3F" w:rsidRDefault="00CC4B3F"/>
    <w:sectPr w:rsidR="00CC4B3F" w:rsidSect="00F15492">
      <w:footerReference w:type="default" r:id="rId10"/>
      <w:pgSz w:w="11910" w:h="16840"/>
      <w:pgMar w:top="0" w:right="1020" w:bottom="1720" w:left="1480" w:header="0" w:footer="153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42829"/>
      <w:docPartObj>
        <w:docPartGallery w:val="Page Numbers (Bottom of Page)"/>
        <w:docPartUnique/>
      </w:docPartObj>
    </w:sdtPr>
    <w:sdtEndPr/>
    <w:sdtContent>
      <w:p w:rsidR="00660A53" w:rsidRDefault="00C83B49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5BEA">
          <w:rPr>
            <w:noProof/>
          </w:rPr>
          <w:t>4</w:t>
        </w:r>
        <w:r>
          <w:fldChar w:fldCharType="end"/>
        </w:r>
      </w:p>
    </w:sdtContent>
  </w:sdt>
  <w:p w:rsidR="00F15492" w:rsidRDefault="00C83B49">
    <w:pPr>
      <w:pStyle w:val="Corpodetexto"/>
      <w:spacing w:line="14" w:lineRule="auto"/>
      <w:rPr>
        <w:sz w:val="20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1B61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1">
    <w:nsid w:val="35EB49D1"/>
    <w:multiLevelType w:val="hybridMultilevel"/>
    <w:tmpl w:val="92180D9A"/>
    <w:lvl w:ilvl="0" w:tplc="086E9D50">
      <w:start w:val="7"/>
      <w:numFmt w:val="decimal"/>
      <w:lvlText w:val="%1"/>
      <w:lvlJc w:val="left"/>
      <w:pPr>
        <w:ind w:left="142" w:hanging="416"/>
      </w:pPr>
      <w:rPr>
        <w:rFonts w:hint="default"/>
        <w:lang w:val="pt-PT" w:eastAsia="en-US" w:bidi="ar-SA"/>
      </w:rPr>
    </w:lvl>
    <w:lvl w:ilvl="1" w:tplc="7BC00E12">
      <w:numFmt w:val="none"/>
      <w:lvlText w:val=""/>
      <w:lvlJc w:val="left"/>
      <w:pPr>
        <w:tabs>
          <w:tab w:val="num" w:pos="360"/>
        </w:tabs>
      </w:pPr>
    </w:lvl>
    <w:lvl w:ilvl="2" w:tplc="388E25D0">
      <w:numFmt w:val="none"/>
      <w:lvlText w:val=""/>
      <w:lvlJc w:val="left"/>
      <w:pPr>
        <w:tabs>
          <w:tab w:val="num" w:pos="360"/>
        </w:tabs>
      </w:pPr>
    </w:lvl>
    <w:lvl w:ilvl="3" w:tplc="1FEC0BEA">
      <w:numFmt w:val="bullet"/>
      <w:lvlText w:val="•"/>
      <w:lvlJc w:val="left"/>
      <w:pPr>
        <w:ind w:left="2845" w:hanging="717"/>
      </w:pPr>
      <w:rPr>
        <w:rFonts w:hint="default"/>
        <w:lang w:val="pt-PT" w:eastAsia="en-US" w:bidi="ar-SA"/>
      </w:rPr>
    </w:lvl>
    <w:lvl w:ilvl="4" w:tplc="8390BCF2">
      <w:numFmt w:val="bullet"/>
      <w:lvlText w:val="•"/>
      <w:lvlJc w:val="left"/>
      <w:pPr>
        <w:ind w:left="3838" w:hanging="717"/>
      </w:pPr>
      <w:rPr>
        <w:rFonts w:hint="default"/>
        <w:lang w:val="pt-PT" w:eastAsia="en-US" w:bidi="ar-SA"/>
      </w:rPr>
    </w:lvl>
    <w:lvl w:ilvl="5" w:tplc="2F787310">
      <w:numFmt w:val="bullet"/>
      <w:lvlText w:val="•"/>
      <w:lvlJc w:val="left"/>
      <w:pPr>
        <w:ind w:left="4831" w:hanging="717"/>
      </w:pPr>
      <w:rPr>
        <w:rFonts w:hint="default"/>
        <w:lang w:val="pt-PT" w:eastAsia="en-US" w:bidi="ar-SA"/>
      </w:rPr>
    </w:lvl>
    <w:lvl w:ilvl="6" w:tplc="C952F06E">
      <w:numFmt w:val="bullet"/>
      <w:lvlText w:val="•"/>
      <w:lvlJc w:val="left"/>
      <w:pPr>
        <w:ind w:left="5823" w:hanging="717"/>
      </w:pPr>
      <w:rPr>
        <w:rFonts w:hint="default"/>
        <w:lang w:val="pt-PT" w:eastAsia="en-US" w:bidi="ar-SA"/>
      </w:rPr>
    </w:lvl>
    <w:lvl w:ilvl="7" w:tplc="6FC2D32C">
      <w:numFmt w:val="bullet"/>
      <w:lvlText w:val="•"/>
      <w:lvlJc w:val="left"/>
      <w:pPr>
        <w:ind w:left="6816" w:hanging="717"/>
      </w:pPr>
      <w:rPr>
        <w:rFonts w:hint="default"/>
        <w:lang w:val="pt-PT" w:eastAsia="en-US" w:bidi="ar-SA"/>
      </w:rPr>
    </w:lvl>
    <w:lvl w:ilvl="8" w:tplc="FA36A102">
      <w:numFmt w:val="bullet"/>
      <w:lvlText w:val="•"/>
      <w:lvlJc w:val="left"/>
      <w:pPr>
        <w:ind w:left="7809" w:hanging="71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70DE"/>
    <w:rsid w:val="003D5BEA"/>
    <w:rsid w:val="003F004A"/>
    <w:rsid w:val="004B2F68"/>
    <w:rsid w:val="006770DE"/>
    <w:rsid w:val="00823A91"/>
    <w:rsid w:val="00B532AB"/>
    <w:rsid w:val="00BF00AF"/>
    <w:rsid w:val="00C83B49"/>
    <w:rsid w:val="00CC4B3F"/>
    <w:rsid w:val="00D85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77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70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770DE"/>
  </w:style>
  <w:style w:type="character" w:customStyle="1" w:styleId="CorpodetextoChar">
    <w:name w:val="Corpo de texto Char"/>
    <w:basedOn w:val="Fontepargpadro"/>
    <w:link w:val="Corpodetexto"/>
    <w:uiPriority w:val="1"/>
    <w:rsid w:val="006770DE"/>
    <w:rPr>
      <w:rFonts w:ascii="Times New Roman" w:eastAsia="Times New Roman" w:hAnsi="Times New Roman" w:cs="Times New Roman"/>
      <w:lang w:val="pt-PT"/>
    </w:rPr>
  </w:style>
  <w:style w:type="paragraph" w:customStyle="1" w:styleId="Heading1">
    <w:name w:val="Heading 1"/>
    <w:basedOn w:val="Normal"/>
    <w:uiPriority w:val="1"/>
    <w:qFormat/>
    <w:rsid w:val="006770DE"/>
    <w:pPr>
      <w:spacing w:before="90"/>
      <w:ind w:left="221" w:right="109"/>
      <w:jc w:val="center"/>
      <w:outlineLvl w:val="1"/>
    </w:pPr>
    <w:rPr>
      <w:sz w:val="24"/>
      <w:szCs w:val="24"/>
    </w:rPr>
  </w:style>
  <w:style w:type="paragraph" w:styleId="Ttulo">
    <w:name w:val="Title"/>
    <w:basedOn w:val="Normal"/>
    <w:link w:val="TtuloChar"/>
    <w:uiPriority w:val="1"/>
    <w:qFormat/>
    <w:rsid w:val="006770DE"/>
    <w:pPr>
      <w:spacing w:before="84"/>
      <w:ind w:left="2185" w:right="20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1"/>
    <w:rsid w:val="006770DE"/>
    <w:rPr>
      <w:rFonts w:ascii="Times New Roman" w:eastAsia="Times New Roman" w:hAnsi="Times New Roman" w:cs="Times New Roman"/>
      <w:b/>
      <w:bCs/>
      <w:sz w:val="40"/>
      <w:szCs w:val="40"/>
      <w:lang w:val="pt-PT"/>
    </w:rPr>
  </w:style>
  <w:style w:type="paragraph" w:styleId="PargrafodaLista">
    <w:name w:val="List Paragraph"/>
    <w:basedOn w:val="Normal"/>
    <w:uiPriority w:val="1"/>
    <w:qFormat/>
    <w:rsid w:val="006770DE"/>
    <w:pPr>
      <w:ind w:left="941" w:right="105" w:hanging="360"/>
    </w:pPr>
  </w:style>
  <w:style w:type="paragraph" w:customStyle="1" w:styleId="TableParagraph">
    <w:name w:val="Table Paragraph"/>
    <w:basedOn w:val="Normal"/>
    <w:uiPriority w:val="1"/>
    <w:qFormat/>
    <w:rsid w:val="006770DE"/>
  </w:style>
  <w:style w:type="paragraph" w:styleId="Rodap">
    <w:name w:val="footer"/>
    <w:basedOn w:val="Normal"/>
    <w:link w:val="RodapChar"/>
    <w:uiPriority w:val="99"/>
    <w:unhideWhenUsed/>
    <w:rsid w:val="006770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70DE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6770DE"/>
    <w:rPr>
      <w:color w:val="0000FF" w:themeColor="hyperlink"/>
      <w:u w:val="single"/>
    </w:rPr>
  </w:style>
  <w:style w:type="paragraph" w:customStyle="1" w:styleId="normal0">
    <w:name w:val="normal"/>
    <w:rsid w:val="00677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70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70DE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mpras@estiva.mg.gov.br.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42DB49-3B97-4C6E-8AB5-07A086AF9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917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2026-03-24T17:07:00Z</dcterms:created>
  <dcterms:modified xsi:type="dcterms:W3CDTF">2026-03-24T17:07:00Z</dcterms:modified>
</cp:coreProperties>
</file>